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79C5" w14:textId="74E58B02" w:rsidR="00927F01" w:rsidRPr="00050462" w:rsidRDefault="00050462" w:rsidP="00050462">
      <w:pPr>
        <w:pStyle w:val="GraphicAnchor"/>
        <w:jc w:val="center"/>
        <w:rPr>
          <w:rFonts w:ascii="Aptos Display" w:hAnsi="Aptos Display"/>
          <w:b/>
          <w:bCs/>
          <w:sz w:val="32"/>
          <w:szCs w:val="72"/>
          <w:u w:val="single"/>
        </w:rPr>
      </w:pPr>
      <w:r w:rsidRPr="00050462">
        <w:rPr>
          <w:rFonts w:ascii="Aptos Display" w:hAnsi="Aptos Display"/>
          <w:b/>
          <w:bCs/>
          <w:sz w:val="32"/>
          <w:szCs w:val="72"/>
          <w:u w:val="single"/>
        </w:rPr>
        <w:t>Cultural Sustainability</w:t>
      </w:r>
    </w:p>
    <w:p w14:paraId="5D8AD6C1" w14:textId="7A6E76DF" w:rsidR="00050462" w:rsidRDefault="00050462" w:rsidP="00050462">
      <w:pPr>
        <w:pStyle w:val="GraphicAnchor"/>
        <w:jc w:val="center"/>
        <w:rPr>
          <w:rFonts w:ascii="Aptos Display" w:hAnsi="Aptos Display"/>
          <w:b/>
          <w:bCs/>
          <w:sz w:val="32"/>
          <w:szCs w:val="72"/>
        </w:rPr>
      </w:pPr>
      <w:r>
        <w:rPr>
          <w:rFonts w:ascii="Aptos Display" w:hAnsi="Aptos Display"/>
          <w:b/>
          <w:bCs/>
          <w:sz w:val="32"/>
          <w:szCs w:val="72"/>
        </w:rPr>
        <w:t>Application Evaluation Rubric</w:t>
      </w:r>
    </w:p>
    <w:tbl>
      <w:tblPr>
        <w:tblStyle w:val="TableGrid"/>
        <w:tblW w:w="14935" w:type="dxa"/>
        <w:jc w:val="center"/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  <w:gridCol w:w="2489"/>
        <w:gridCol w:w="2490"/>
      </w:tblGrid>
      <w:tr w:rsidR="00CD1D46" w14:paraId="6F34A535" w14:textId="77777777" w:rsidTr="00CD1D46">
        <w:trPr>
          <w:trHeight w:val="737"/>
          <w:jc w:val="center"/>
        </w:trPr>
        <w:tc>
          <w:tcPr>
            <w:tcW w:w="2489" w:type="dxa"/>
            <w:vAlign w:val="center"/>
          </w:tcPr>
          <w:p w14:paraId="60A88E8B" w14:textId="6F37459B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Criteria</w:t>
            </w:r>
          </w:p>
        </w:tc>
        <w:tc>
          <w:tcPr>
            <w:tcW w:w="2489" w:type="dxa"/>
          </w:tcPr>
          <w:p w14:paraId="3D71671A" w14:textId="36808C04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Strongly Agree</w:t>
            </w:r>
            <w:r w:rsidRPr="00A654BD">
              <w:rPr>
                <w:rFonts w:ascii="Aptos Display" w:hAnsi="Aptos Display"/>
                <w:sz w:val="28"/>
                <w:szCs w:val="56"/>
              </w:rPr>
              <w:br/>
              <w:t>(</w:t>
            </w:r>
            <w:r w:rsidR="00805B73">
              <w:rPr>
                <w:rFonts w:ascii="Aptos Display" w:hAnsi="Aptos Display"/>
                <w:sz w:val="28"/>
                <w:szCs w:val="56"/>
              </w:rPr>
              <w:t>10</w:t>
            </w:r>
            <w:r w:rsidRPr="00A654BD">
              <w:rPr>
                <w:rFonts w:ascii="Aptos Display" w:hAnsi="Aptos Display"/>
                <w:sz w:val="28"/>
                <w:szCs w:val="56"/>
              </w:rPr>
              <w:t xml:space="preserve"> points)</w:t>
            </w:r>
          </w:p>
        </w:tc>
        <w:tc>
          <w:tcPr>
            <w:tcW w:w="2489" w:type="dxa"/>
          </w:tcPr>
          <w:p w14:paraId="428D2CE8" w14:textId="14C6DCE1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Agree</w:t>
            </w:r>
            <w:r w:rsidRPr="00A654BD">
              <w:rPr>
                <w:rFonts w:ascii="Aptos Display" w:hAnsi="Aptos Display"/>
                <w:sz w:val="28"/>
                <w:szCs w:val="56"/>
              </w:rPr>
              <w:br/>
              <w:t>(</w:t>
            </w:r>
            <w:r w:rsidR="00805B73">
              <w:rPr>
                <w:rFonts w:ascii="Aptos Display" w:hAnsi="Aptos Display"/>
                <w:sz w:val="28"/>
                <w:szCs w:val="56"/>
              </w:rPr>
              <w:t>7</w:t>
            </w:r>
            <w:r w:rsidRPr="00A654BD">
              <w:rPr>
                <w:rFonts w:ascii="Aptos Display" w:hAnsi="Aptos Display"/>
                <w:sz w:val="28"/>
                <w:szCs w:val="56"/>
              </w:rPr>
              <w:t xml:space="preserve"> points)</w:t>
            </w:r>
          </w:p>
        </w:tc>
        <w:tc>
          <w:tcPr>
            <w:tcW w:w="2489" w:type="dxa"/>
          </w:tcPr>
          <w:p w14:paraId="3D009FAA" w14:textId="223D77D8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Neutral</w:t>
            </w:r>
            <w:r w:rsidRPr="00A654BD">
              <w:rPr>
                <w:rFonts w:ascii="Aptos Display" w:hAnsi="Aptos Display"/>
                <w:sz w:val="28"/>
                <w:szCs w:val="56"/>
              </w:rPr>
              <w:br/>
              <w:t>(</w:t>
            </w:r>
            <w:r w:rsidR="00805B73">
              <w:rPr>
                <w:rFonts w:ascii="Aptos Display" w:hAnsi="Aptos Display"/>
                <w:sz w:val="28"/>
                <w:szCs w:val="56"/>
              </w:rPr>
              <w:t>5</w:t>
            </w:r>
            <w:r w:rsidRPr="00A654BD">
              <w:rPr>
                <w:rFonts w:ascii="Aptos Display" w:hAnsi="Aptos Display"/>
                <w:sz w:val="28"/>
                <w:szCs w:val="56"/>
              </w:rPr>
              <w:t xml:space="preserve"> points)</w:t>
            </w:r>
          </w:p>
        </w:tc>
        <w:tc>
          <w:tcPr>
            <w:tcW w:w="2489" w:type="dxa"/>
          </w:tcPr>
          <w:p w14:paraId="49C808E3" w14:textId="77777777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Disagree</w:t>
            </w:r>
          </w:p>
          <w:p w14:paraId="5BFA1F5D" w14:textId="3CA2F2FE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(</w:t>
            </w:r>
            <w:r w:rsidR="00805B73">
              <w:rPr>
                <w:rFonts w:ascii="Aptos Display" w:hAnsi="Aptos Display"/>
                <w:sz w:val="28"/>
                <w:szCs w:val="56"/>
              </w:rPr>
              <w:t>3</w:t>
            </w:r>
            <w:r w:rsidRPr="00A654BD">
              <w:rPr>
                <w:rFonts w:ascii="Aptos Display" w:hAnsi="Aptos Display"/>
                <w:sz w:val="28"/>
                <w:szCs w:val="56"/>
              </w:rPr>
              <w:t xml:space="preserve"> points)</w:t>
            </w:r>
          </w:p>
        </w:tc>
        <w:tc>
          <w:tcPr>
            <w:tcW w:w="2490" w:type="dxa"/>
          </w:tcPr>
          <w:p w14:paraId="25920E20" w14:textId="1E148E38" w:rsidR="00A654BD" w:rsidRPr="00A654BD" w:rsidRDefault="00A654BD" w:rsidP="00A654BD">
            <w:pPr>
              <w:pStyle w:val="GraphicAnchor"/>
              <w:jc w:val="center"/>
              <w:rPr>
                <w:rFonts w:ascii="Aptos Display" w:hAnsi="Aptos Display"/>
                <w:sz w:val="28"/>
                <w:szCs w:val="56"/>
              </w:rPr>
            </w:pPr>
            <w:r w:rsidRPr="00A654BD">
              <w:rPr>
                <w:rFonts w:ascii="Aptos Display" w:hAnsi="Aptos Display"/>
                <w:sz w:val="28"/>
                <w:szCs w:val="56"/>
              </w:rPr>
              <w:t>Strongly Disagree</w:t>
            </w:r>
            <w:r w:rsidRPr="00A654BD">
              <w:rPr>
                <w:rFonts w:ascii="Aptos Display" w:hAnsi="Aptos Display"/>
                <w:sz w:val="28"/>
                <w:szCs w:val="56"/>
              </w:rPr>
              <w:br/>
            </w:r>
            <w:r>
              <w:rPr>
                <w:rFonts w:ascii="Aptos Display" w:hAnsi="Aptos Display"/>
                <w:sz w:val="28"/>
                <w:szCs w:val="56"/>
              </w:rPr>
              <w:t>(1 point)</w:t>
            </w:r>
          </w:p>
        </w:tc>
      </w:tr>
      <w:tr w:rsidR="00CD1D46" w14:paraId="2B1A55CE" w14:textId="77777777" w:rsidTr="00CD1D46">
        <w:trPr>
          <w:trHeight w:val="1251"/>
          <w:jc w:val="center"/>
        </w:trPr>
        <w:tc>
          <w:tcPr>
            <w:tcW w:w="2489" w:type="dxa"/>
            <w:vAlign w:val="center"/>
          </w:tcPr>
          <w:p w14:paraId="51B2DC50" w14:textId="079F472E" w:rsidR="00A654BD" w:rsidRPr="00CD1D46" w:rsidRDefault="00A654BD" w:rsidP="00A654BD">
            <w:pPr>
              <w:pStyle w:val="GraphicAnchor"/>
              <w:rPr>
                <w:rFonts w:ascii="Aptos Display" w:hAnsi="Aptos Display"/>
                <w:sz w:val="28"/>
                <w:szCs w:val="28"/>
              </w:rPr>
            </w:pPr>
            <w:r w:rsidRPr="00CD1D46">
              <w:rPr>
                <w:rFonts w:ascii="Aptos Display" w:hAnsi="Aptos Display"/>
                <w:sz w:val="28"/>
                <w:szCs w:val="28"/>
              </w:rPr>
              <w:t xml:space="preserve">Cultural impact in </w:t>
            </w:r>
            <w:r w:rsidRPr="00CD1D46">
              <w:rPr>
                <w:rFonts w:ascii="Aptos Display" w:hAnsi="Aptos Display"/>
                <w:sz w:val="28"/>
                <w:szCs w:val="28"/>
              </w:rPr>
              <w:br/>
              <w:t>New England &amp; beyond</w:t>
            </w:r>
          </w:p>
        </w:tc>
        <w:tc>
          <w:tcPr>
            <w:tcW w:w="2489" w:type="dxa"/>
          </w:tcPr>
          <w:p w14:paraId="55BABEDB" w14:textId="3FF5071E" w:rsidR="00A654BD" w:rsidRPr="00A654BD" w:rsidRDefault="00A654BD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 w:rsidRPr="00A654BD">
              <w:rPr>
                <w:rFonts w:ascii="Aptos Display" w:hAnsi="Aptos Display"/>
                <w:sz w:val="22"/>
                <w:szCs w:val="22"/>
              </w:rPr>
              <w:t>G</w:t>
            </w:r>
            <w:r>
              <w:rPr>
                <w:rFonts w:ascii="Aptos Display" w:hAnsi="Aptos Display"/>
                <w:sz w:val="22"/>
                <w:szCs w:val="22"/>
              </w:rPr>
              <w:t xml:space="preserve">eneral operating support will allow this </w:t>
            </w:r>
            <w:r w:rsidR="00045D3B">
              <w:rPr>
                <w:rFonts w:ascii="Aptos Display" w:hAnsi="Aptos Display"/>
                <w:sz w:val="22"/>
                <w:szCs w:val="22"/>
              </w:rPr>
              <w:t>organization to expand their impact throughout &amp; beyond New England.</w:t>
            </w:r>
          </w:p>
        </w:tc>
        <w:tc>
          <w:tcPr>
            <w:tcW w:w="2489" w:type="dxa"/>
          </w:tcPr>
          <w:p w14:paraId="7838B092" w14:textId="7940462C" w:rsidR="00A654BD" w:rsidRPr="00A654BD" w:rsidRDefault="00045D3B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General operating support will allow this organization to expand their reach into New England.</w:t>
            </w:r>
          </w:p>
        </w:tc>
        <w:tc>
          <w:tcPr>
            <w:tcW w:w="2489" w:type="dxa"/>
          </w:tcPr>
          <w:p w14:paraId="31DAC926" w14:textId="569CDA3F" w:rsidR="00A654BD" w:rsidRPr="00A654BD" w:rsidRDefault="00045D3B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Operating &amp; learning cohort support may or may not allow this organization to expand their impact.</w:t>
            </w:r>
          </w:p>
        </w:tc>
        <w:tc>
          <w:tcPr>
            <w:tcW w:w="2489" w:type="dxa"/>
          </w:tcPr>
          <w:p w14:paraId="3163973D" w14:textId="4FFE35CB" w:rsidR="00A654BD" w:rsidRPr="00A654BD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General operating support would not allow this organization to expand their cultural impact in New England or elsewhere.</w:t>
            </w:r>
          </w:p>
        </w:tc>
        <w:tc>
          <w:tcPr>
            <w:tcW w:w="2490" w:type="dxa"/>
          </w:tcPr>
          <w:p w14:paraId="54ADD03B" w14:textId="4DF5AC47" w:rsidR="00A654BD" w:rsidRPr="00CD1D46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Participation in Cultural Sustainability would lessen the impact of the organization’s work locally.</w:t>
            </w:r>
          </w:p>
        </w:tc>
      </w:tr>
      <w:tr w:rsidR="00CD1D46" w14:paraId="2D033714" w14:textId="77777777" w:rsidTr="00CD1D46">
        <w:trPr>
          <w:trHeight w:val="1301"/>
          <w:jc w:val="center"/>
        </w:trPr>
        <w:tc>
          <w:tcPr>
            <w:tcW w:w="2489" w:type="dxa"/>
          </w:tcPr>
          <w:p w14:paraId="2C5A88AB" w14:textId="13DCF018" w:rsidR="00A654BD" w:rsidRPr="00CD1D46" w:rsidRDefault="00CD1D46" w:rsidP="00050462">
            <w:pPr>
              <w:pStyle w:val="GraphicAnchor"/>
              <w:rPr>
                <w:rFonts w:ascii="Aptos Display" w:hAnsi="Aptos Display"/>
                <w:sz w:val="28"/>
                <w:szCs w:val="28"/>
              </w:rPr>
            </w:pPr>
            <w:r w:rsidRPr="00CD1D46">
              <w:rPr>
                <w:rFonts w:ascii="Aptos Display" w:hAnsi="Aptos Display"/>
                <w:sz w:val="28"/>
                <w:szCs w:val="28"/>
              </w:rPr>
              <w:t>Equi</w:t>
            </w:r>
            <w:r>
              <w:rPr>
                <w:rFonts w:ascii="Aptos Display" w:hAnsi="Aptos Display"/>
                <w:sz w:val="28"/>
                <w:szCs w:val="28"/>
              </w:rPr>
              <w:t>table practices in artistic &amp; administrative activities</w:t>
            </w:r>
          </w:p>
        </w:tc>
        <w:tc>
          <w:tcPr>
            <w:tcW w:w="2489" w:type="dxa"/>
          </w:tcPr>
          <w:p w14:paraId="2839D0E1" w14:textId="58B38A7F" w:rsidR="00A654BD" w:rsidRPr="00A654BD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 serves as a model for the industry in equitable practices, both artistically and administratively.</w:t>
            </w:r>
          </w:p>
        </w:tc>
        <w:tc>
          <w:tcPr>
            <w:tcW w:w="2489" w:type="dxa"/>
          </w:tcPr>
          <w:p w14:paraId="4D0F0986" w14:textId="0F43320E" w:rsidR="00A654BD" w:rsidRPr="00A654BD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 has outstanding equity practices in most of their operations.</w:t>
            </w:r>
          </w:p>
        </w:tc>
        <w:tc>
          <w:tcPr>
            <w:tcW w:w="2489" w:type="dxa"/>
          </w:tcPr>
          <w:p w14:paraId="54ED45F3" w14:textId="65F98DD8" w:rsidR="00A654BD" w:rsidRPr="00A654BD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proofErr w:type="gramStart"/>
            <w:r>
              <w:rPr>
                <w:rFonts w:ascii="Aptos Display" w:hAnsi="Aptos Display"/>
                <w:sz w:val="22"/>
                <w:szCs w:val="22"/>
              </w:rPr>
              <w:t>Organization employs</w:t>
            </w:r>
            <w:proofErr w:type="gramEnd"/>
            <w:r>
              <w:rPr>
                <w:rFonts w:ascii="Aptos Display" w:hAnsi="Aptos Display"/>
                <w:sz w:val="22"/>
                <w:szCs w:val="22"/>
              </w:rPr>
              <w:t xml:space="preserve"> some equitable processes either artistically or administratively. </w:t>
            </w:r>
          </w:p>
        </w:tc>
        <w:tc>
          <w:tcPr>
            <w:tcW w:w="2489" w:type="dxa"/>
          </w:tcPr>
          <w:p w14:paraId="2DA1672D" w14:textId="275765FE" w:rsidR="00A654BD" w:rsidRPr="00A654BD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 has a way to go on in establishing equitable practices in their artistic &amp; administrative work.</w:t>
            </w:r>
          </w:p>
        </w:tc>
        <w:tc>
          <w:tcPr>
            <w:tcW w:w="2490" w:type="dxa"/>
          </w:tcPr>
          <w:p w14:paraId="23FFF268" w14:textId="1CF522F6" w:rsidR="00A654BD" w:rsidRPr="00CD1D46" w:rsidRDefault="00CD1D46" w:rsidP="00050462">
            <w:pPr>
              <w:pStyle w:val="GraphicAnchor"/>
              <w:rPr>
                <w:rFonts w:ascii="Aptos Display" w:hAnsi="Aptos Display"/>
                <w:sz w:val="22"/>
                <w:szCs w:val="48"/>
              </w:rPr>
            </w:pPr>
            <w:r>
              <w:rPr>
                <w:rFonts w:ascii="Aptos Display" w:hAnsi="Aptos Display"/>
                <w:sz w:val="22"/>
                <w:szCs w:val="48"/>
              </w:rPr>
              <w:t>Substantial inequities present in artistic and administrative work.</w:t>
            </w:r>
          </w:p>
        </w:tc>
      </w:tr>
      <w:tr w:rsidR="00CD1D46" w14:paraId="2F2432E6" w14:textId="77777777" w:rsidTr="00CD1D46">
        <w:trPr>
          <w:trHeight w:val="1301"/>
          <w:jc w:val="center"/>
        </w:trPr>
        <w:tc>
          <w:tcPr>
            <w:tcW w:w="2489" w:type="dxa"/>
          </w:tcPr>
          <w:p w14:paraId="6F64D60D" w14:textId="6FD06245" w:rsidR="00A654BD" w:rsidRPr="00CD1D46" w:rsidRDefault="00CD1D46" w:rsidP="00050462">
            <w:pPr>
              <w:pStyle w:val="GraphicAncho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Progress towards sustainability of services &amp; programming.</w:t>
            </w:r>
          </w:p>
        </w:tc>
        <w:tc>
          <w:tcPr>
            <w:tcW w:w="2489" w:type="dxa"/>
          </w:tcPr>
          <w:p w14:paraId="0A749E1F" w14:textId="4DA9483D" w:rsidR="00A654BD" w:rsidRPr="00A654BD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Sustainability and growth of programming and services is well underway at this organization.</w:t>
            </w:r>
          </w:p>
        </w:tc>
        <w:tc>
          <w:tcPr>
            <w:tcW w:w="2489" w:type="dxa"/>
          </w:tcPr>
          <w:p w14:paraId="36E2C63B" w14:textId="20ACCDE0" w:rsidR="00A654BD" w:rsidRPr="00A654BD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 has a plan to make programs and services more sustainable.</w:t>
            </w:r>
          </w:p>
        </w:tc>
        <w:tc>
          <w:tcPr>
            <w:tcW w:w="2489" w:type="dxa"/>
          </w:tcPr>
          <w:p w14:paraId="34DB9D67" w14:textId="1308DFB4" w:rsidR="00A654BD" w:rsidRPr="00A654BD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 is working towards more sustainability of services and programming.</w:t>
            </w:r>
          </w:p>
        </w:tc>
        <w:tc>
          <w:tcPr>
            <w:tcW w:w="2489" w:type="dxa"/>
          </w:tcPr>
          <w:p w14:paraId="68323555" w14:textId="50F4BC8D" w:rsidR="00A654BD" w:rsidRPr="00A654BD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 is ill-equipped to increase sustainability of services and programming.</w:t>
            </w:r>
          </w:p>
        </w:tc>
        <w:tc>
          <w:tcPr>
            <w:tcW w:w="2490" w:type="dxa"/>
          </w:tcPr>
          <w:p w14:paraId="6934F191" w14:textId="0C6094F9" w:rsidR="00A654BD" w:rsidRPr="002408B1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48"/>
              </w:rPr>
            </w:pPr>
            <w:r>
              <w:rPr>
                <w:rFonts w:ascii="Aptos Display" w:hAnsi="Aptos Display"/>
                <w:sz w:val="22"/>
                <w:szCs w:val="48"/>
              </w:rPr>
              <w:t>Services and programming are at risk of ceasing at this organization.</w:t>
            </w:r>
          </w:p>
        </w:tc>
      </w:tr>
      <w:tr w:rsidR="00CD1D46" w14:paraId="4A791F36" w14:textId="77777777" w:rsidTr="002408B1">
        <w:trPr>
          <w:trHeight w:val="1251"/>
          <w:jc w:val="center"/>
        </w:trPr>
        <w:tc>
          <w:tcPr>
            <w:tcW w:w="2489" w:type="dxa"/>
            <w:vAlign w:val="center"/>
          </w:tcPr>
          <w:p w14:paraId="1AC178A0" w14:textId="28C45E1A" w:rsidR="00A654BD" w:rsidRPr="00CD1D46" w:rsidRDefault="002408B1" w:rsidP="002408B1">
            <w:pPr>
              <w:pStyle w:val="GraphicAncho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Willingness to contribute actively to a learning cohort</w:t>
            </w:r>
          </w:p>
        </w:tc>
        <w:tc>
          <w:tcPr>
            <w:tcW w:w="2489" w:type="dxa"/>
          </w:tcPr>
          <w:p w14:paraId="0B3D4827" w14:textId="54A65817" w:rsidR="00A654BD" w:rsidRPr="00A654BD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Applicant is ready and eager to participate in a learning cohort.</w:t>
            </w:r>
          </w:p>
        </w:tc>
        <w:tc>
          <w:tcPr>
            <w:tcW w:w="2489" w:type="dxa"/>
          </w:tcPr>
          <w:p w14:paraId="4905B238" w14:textId="46A18B7C" w:rsidR="00A654BD" w:rsidRPr="00A654BD" w:rsidRDefault="002408B1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Applicant can and would actively participate in the learning cohort.</w:t>
            </w:r>
          </w:p>
        </w:tc>
        <w:tc>
          <w:tcPr>
            <w:tcW w:w="2489" w:type="dxa"/>
          </w:tcPr>
          <w:p w14:paraId="7A92F511" w14:textId="2975D01C" w:rsidR="00A654BD" w:rsidRPr="00A654BD" w:rsidRDefault="002446C9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Applicant might make a good addition to a learning cohort.</w:t>
            </w:r>
          </w:p>
        </w:tc>
        <w:tc>
          <w:tcPr>
            <w:tcW w:w="2489" w:type="dxa"/>
          </w:tcPr>
          <w:p w14:paraId="72D08E80" w14:textId="2D14DF5C" w:rsidR="00A654BD" w:rsidRPr="00A654BD" w:rsidRDefault="002446C9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Applicant seems hesitant to participate in and contribute to the learning cohort.</w:t>
            </w:r>
          </w:p>
        </w:tc>
        <w:tc>
          <w:tcPr>
            <w:tcW w:w="2490" w:type="dxa"/>
          </w:tcPr>
          <w:p w14:paraId="45F7B21F" w14:textId="5E3A7267" w:rsidR="00A654BD" w:rsidRPr="002446C9" w:rsidRDefault="002446C9" w:rsidP="00050462">
            <w:pPr>
              <w:pStyle w:val="GraphicAnchor"/>
              <w:rPr>
                <w:rFonts w:ascii="Aptos Display" w:hAnsi="Aptos Display"/>
                <w:sz w:val="22"/>
                <w:szCs w:val="48"/>
              </w:rPr>
            </w:pPr>
            <w:r>
              <w:rPr>
                <w:rFonts w:ascii="Aptos Display" w:hAnsi="Aptos Display"/>
                <w:sz w:val="22"/>
                <w:szCs w:val="48"/>
              </w:rPr>
              <w:t xml:space="preserve">Applicant could actively detract from a learning cohort scenario. </w:t>
            </w:r>
          </w:p>
        </w:tc>
      </w:tr>
      <w:tr w:rsidR="00BC2CC2" w14:paraId="1A41FE0E" w14:textId="77777777" w:rsidTr="002408B1">
        <w:trPr>
          <w:trHeight w:val="1251"/>
          <w:jc w:val="center"/>
        </w:trPr>
        <w:tc>
          <w:tcPr>
            <w:tcW w:w="2489" w:type="dxa"/>
            <w:vAlign w:val="center"/>
          </w:tcPr>
          <w:p w14:paraId="45FD9A78" w14:textId="168CFF8D" w:rsidR="00BC2CC2" w:rsidRDefault="00552EF0" w:rsidP="002408B1">
            <w:pPr>
              <w:pStyle w:val="GraphicAncho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Connection to mission of Cultural</w:t>
            </w:r>
            <w:r w:rsidR="00BC2CC2">
              <w:rPr>
                <w:rFonts w:ascii="Aptos Display" w:hAnsi="Aptos Display"/>
                <w:sz w:val="28"/>
                <w:szCs w:val="28"/>
              </w:rPr>
              <w:t xml:space="preserve"> Sustainability</w:t>
            </w:r>
          </w:p>
        </w:tc>
        <w:tc>
          <w:tcPr>
            <w:tcW w:w="2489" w:type="dxa"/>
          </w:tcPr>
          <w:p w14:paraId="2D1BBCCB" w14:textId="5557BD38" w:rsidR="00BC2CC2" w:rsidRDefault="00BC2CC2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 xml:space="preserve">Organization clearly expresses their alignment with the program mission as an arts organization of color. </w:t>
            </w:r>
          </w:p>
        </w:tc>
        <w:tc>
          <w:tcPr>
            <w:tcW w:w="2489" w:type="dxa"/>
          </w:tcPr>
          <w:p w14:paraId="1C26915D" w14:textId="27A7791E" w:rsidR="00BC2CC2" w:rsidRDefault="00552EF0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 xml:space="preserve">Organization demonstrates understanding of program mission and identify with it. </w:t>
            </w:r>
          </w:p>
        </w:tc>
        <w:tc>
          <w:tcPr>
            <w:tcW w:w="2489" w:type="dxa"/>
          </w:tcPr>
          <w:p w14:paraId="0EA3598E" w14:textId="747B4401" w:rsidR="00BC2CC2" w:rsidRDefault="00552EF0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 xml:space="preserve">Organization expression of identity is mostly </w:t>
            </w:r>
            <w:proofErr w:type="gramStart"/>
            <w:r>
              <w:rPr>
                <w:rFonts w:ascii="Aptos Display" w:hAnsi="Aptos Display"/>
                <w:sz w:val="22"/>
                <w:szCs w:val="22"/>
              </w:rPr>
              <w:t>clear, and</w:t>
            </w:r>
            <w:proofErr w:type="gramEnd"/>
            <w:r>
              <w:rPr>
                <w:rFonts w:ascii="Aptos Display" w:hAnsi="Aptos Display"/>
                <w:sz w:val="22"/>
                <w:szCs w:val="22"/>
              </w:rPr>
              <w:t xml:space="preserve"> has some alignment with Cultural Sustainability’s mission.</w:t>
            </w:r>
          </w:p>
        </w:tc>
        <w:tc>
          <w:tcPr>
            <w:tcW w:w="2489" w:type="dxa"/>
          </w:tcPr>
          <w:p w14:paraId="2BAF5BFA" w14:textId="2F16E937" w:rsidR="00BC2CC2" w:rsidRDefault="00552EF0" w:rsidP="00050462">
            <w:pPr>
              <w:pStyle w:val="GraphicAnchor"/>
              <w:rPr>
                <w:rFonts w:ascii="Aptos Display" w:hAnsi="Aptos Display"/>
                <w:sz w:val="22"/>
                <w:szCs w:val="22"/>
              </w:rPr>
            </w:pPr>
            <w:r>
              <w:rPr>
                <w:rFonts w:ascii="Aptos Display" w:hAnsi="Aptos Display"/>
                <w:sz w:val="22"/>
                <w:szCs w:val="22"/>
              </w:rPr>
              <w:t>Organization’s identity is difficult to understand, as is its alignment with the program’s mission.</w:t>
            </w:r>
          </w:p>
        </w:tc>
        <w:tc>
          <w:tcPr>
            <w:tcW w:w="2490" w:type="dxa"/>
          </w:tcPr>
          <w:p w14:paraId="016852ED" w14:textId="59721151" w:rsidR="00BC2CC2" w:rsidRDefault="00552EF0" w:rsidP="00050462">
            <w:pPr>
              <w:pStyle w:val="GraphicAnchor"/>
              <w:rPr>
                <w:rFonts w:ascii="Aptos Display" w:hAnsi="Aptos Display"/>
                <w:sz w:val="22"/>
                <w:szCs w:val="48"/>
              </w:rPr>
            </w:pPr>
            <w:r>
              <w:rPr>
                <w:rFonts w:ascii="Aptos Display" w:hAnsi="Aptos Display"/>
                <w:sz w:val="22"/>
                <w:szCs w:val="48"/>
              </w:rPr>
              <w:t>Organization’s identity &amp; mission do not align with Cultural Sustainability’s goals.</w:t>
            </w:r>
          </w:p>
        </w:tc>
      </w:tr>
    </w:tbl>
    <w:p w14:paraId="2CBAC590" w14:textId="77777777" w:rsidR="0054529B" w:rsidRDefault="0054529B" w:rsidP="00BC2CC2">
      <w:pPr>
        <w:pStyle w:val="GraphicAnchor"/>
        <w:rPr>
          <w:rFonts w:ascii="Aptos Display" w:hAnsi="Aptos Display"/>
          <w:sz w:val="32"/>
          <w:szCs w:val="72"/>
        </w:rPr>
      </w:pPr>
    </w:p>
    <w:p w14:paraId="14F0BBC1" w14:textId="6E8CCD15" w:rsidR="008B4E6B" w:rsidRPr="008B4E6B" w:rsidRDefault="008B4E6B" w:rsidP="008B4E6B">
      <w:pPr>
        <w:pStyle w:val="GraphicAnchor"/>
        <w:spacing w:after="120"/>
        <w:rPr>
          <w:rFonts w:ascii="Aptos Display" w:hAnsi="Aptos Display"/>
          <w:sz w:val="28"/>
          <w:szCs w:val="56"/>
          <w:u w:val="single"/>
        </w:rPr>
      </w:pPr>
      <w:r w:rsidRPr="008B4E6B">
        <w:rPr>
          <w:rFonts w:ascii="Aptos Display" w:hAnsi="Aptos Display"/>
          <w:sz w:val="28"/>
          <w:szCs w:val="56"/>
          <w:u w:val="single"/>
        </w:rPr>
        <w:t xml:space="preserve">Funding Priorities </w:t>
      </w:r>
    </w:p>
    <w:p w14:paraId="056BC5CA" w14:textId="58B7DCB6" w:rsidR="008B4E6B" w:rsidRDefault="008B4E6B" w:rsidP="00BC2CC2">
      <w:pPr>
        <w:pStyle w:val="GraphicAnchor"/>
        <w:rPr>
          <w:rFonts w:ascii="Aptos Display" w:hAnsi="Aptos Display"/>
          <w:sz w:val="24"/>
          <w:szCs w:val="52"/>
        </w:rPr>
      </w:pPr>
      <w:r>
        <w:rPr>
          <w:rFonts w:ascii="Aptos Display" w:hAnsi="Aptos Display"/>
          <w:sz w:val="24"/>
          <w:szCs w:val="52"/>
        </w:rPr>
        <w:t xml:space="preserve">Staff &amp; board reflect community </w:t>
      </w:r>
      <w:proofErr w:type="gramStart"/>
      <w:r>
        <w:rPr>
          <w:rFonts w:ascii="Aptos Display" w:hAnsi="Aptos Display"/>
          <w:sz w:val="24"/>
          <w:szCs w:val="52"/>
        </w:rPr>
        <w:t>served?</w:t>
      </w:r>
      <w:proofErr w:type="gramEnd"/>
      <w:r>
        <w:rPr>
          <w:rFonts w:ascii="Aptos Display" w:hAnsi="Aptos Display"/>
          <w:sz w:val="24"/>
          <w:szCs w:val="52"/>
        </w:rPr>
        <w:t xml:space="preserve"> </w:t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>Yes</w:t>
      </w:r>
      <w:sdt>
        <w:sdtPr>
          <w:rPr>
            <w:rFonts w:ascii="Aptos Display" w:hAnsi="Aptos Display"/>
            <w:sz w:val="24"/>
            <w:szCs w:val="52"/>
          </w:rPr>
          <w:id w:val="84753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  <w:r>
        <w:rPr>
          <w:rFonts w:ascii="Aptos Display" w:hAnsi="Aptos Display"/>
          <w:sz w:val="24"/>
          <w:szCs w:val="52"/>
        </w:rPr>
        <w:t xml:space="preserve">  No</w:t>
      </w:r>
      <w:sdt>
        <w:sdtPr>
          <w:rPr>
            <w:rFonts w:ascii="Aptos Display" w:hAnsi="Aptos Display"/>
            <w:sz w:val="24"/>
            <w:szCs w:val="52"/>
          </w:rPr>
          <w:id w:val="14471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</w:p>
    <w:p w14:paraId="2871D9A7" w14:textId="30E83EA4" w:rsidR="008B4E6B" w:rsidRDefault="008B4E6B" w:rsidP="00BC2CC2">
      <w:pPr>
        <w:pStyle w:val="GraphicAnchor"/>
        <w:rPr>
          <w:rFonts w:ascii="Aptos Display" w:hAnsi="Aptos Display"/>
          <w:sz w:val="24"/>
          <w:szCs w:val="52"/>
        </w:rPr>
      </w:pPr>
      <w:r>
        <w:rPr>
          <w:rFonts w:ascii="Aptos Display" w:hAnsi="Aptos Display"/>
          <w:sz w:val="24"/>
          <w:szCs w:val="52"/>
        </w:rPr>
        <w:t xml:space="preserve">Produces work that preserves cultural </w:t>
      </w:r>
      <w:proofErr w:type="gramStart"/>
      <w:r>
        <w:rPr>
          <w:rFonts w:ascii="Aptos Display" w:hAnsi="Aptos Display"/>
          <w:sz w:val="24"/>
          <w:szCs w:val="52"/>
        </w:rPr>
        <w:t>traditions?</w:t>
      </w:r>
      <w:proofErr w:type="gramEnd"/>
      <w:r>
        <w:rPr>
          <w:rFonts w:ascii="Aptos Display" w:hAnsi="Aptos Display"/>
          <w:sz w:val="24"/>
          <w:szCs w:val="52"/>
        </w:rPr>
        <w:t xml:space="preserve"> </w:t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>Yes</w:t>
      </w:r>
      <w:sdt>
        <w:sdtPr>
          <w:rPr>
            <w:rFonts w:ascii="Aptos Display" w:hAnsi="Aptos Display"/>
            <w:sz w:val="24"/>
            <w:szCs w:val="52"/>
          </w:rPr>
          <w:id w:val="-22669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  <w:r>
        <w:rPr>
          <w:rFonts w:ascii="Aptos Display" w:hAnsi="Aptos Display"/>
          <w:sz w:val="24"/>
          <w:szCs w:val="52"/>
        </w:rPr>
        <w:t xml:space="preserve">  No</w:t>
      </w:r>
      <w:sdt>
        <w:sdtPr>
          <w:rPr>
            <w:rFonts w:ascii="Aptos Display" w:hAnsi="Aptos Display"/>
            <w:sz w:val="24"/>
            <w:szCs w:val="52"/>
          </w:rPr>
          <w:id w:val="-13510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</w:p>
    <w:p w14:paraId="4BB487CF" w14:textId="30B00F2A" w:rsidR="008B4E6B" w:rsidRDefault="008B4E6B" w:rsidP="00BC2CC2">
      <w:pPr>
        <w:pStyle w:val="GraphicAnchor"/>
        <w:rPr>
          <w:rFonts w:ascii="Aptos Display" w:hAnsi="Aptos Display"/>
          <w:sz w:val="24"/>
          <w:szCs w:val="52"/>
        </w:rPr>
      </w:pPr>
      <w:r>
        <w:rPr>
          <w:rFonts w:ascii="Aptos Display" w:hAnsi="Aptos Display"/>
          <w:sz w:val="24"/>
          <w:szCs w:val="52"/>
        </w:rPr>
        <w:t xml:space="preserve">Provides economic benefit to artists of </w:t>
      </w:r>
      <w:proofErr w:type="gramStart"/>
      <w:r>
        <w:rPr>
          <w:rFonts w:ascii="Aptos Display" w:hAnsi="Aptos Display"/>
          <w:sz w:val="24"/>
          <w:szCs w:val="52"/>
        </w:rPr>
        <w:t>color?</w:t>
      </w:r>
      <w:proofErr w:type="gramEnd"/>
      <w:r>
        <w:rPr>
          <w:rFonts w:ascii="Aptos Display" w:hAnsi="Aptos Display"/>
          <w:sz w:val="24"/>
          <w:szCs w:val="52"/>
        </w:rPr>
        <w:t xml:space="preserve"> </w:t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>Yes</w:t>
      </w:r>
      <w:sdt>
        <w:sdtPr>
          <w:rPr>
            <w:rFonts w:ascii="Aptos Display" w:hAnsi="Aptos Display"/>
            <w:sz w:val="24"/>
            <w:szCs w:val="52"/>
          </w:rPr>
          <w:id w:val="-162999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  <w:r>
        <w:rPr>
          <w:rFonts w:ascii="Aptos Display" w:hAnsi="Aptos Display"/>
          <w:sz w:val="24"/>
          <w:szCs w:val="52"/>
        </w:rPr>
        <w:t xml:space="preserve">  No</w:t>
      </w:r>
      <w:sdt>
        <w:sdtPr>
          <w:rPr>
            <w:rFonts w:ascii="Aptos Display" w:hAnsi="Aptos Display"/>
            <w:sz w:val="24"/>
            <w:szCs w:val="52"/>
          </w:rPr>
          <w:id w:val="74684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</w:p>
    <w:p w14:paraId="3B72B4C8" w14:textId="5D8744DD" w:rsidR="008B4E6B" w:rsidRPr="008B4E6B" w:rsidRDefault="008B4E6B" w:rsidP="00BC2CC2">
      <w:pPr>
        <w:pStyle w:val="GraphicAnchor"/>
        <w:rPr>
          <w:rFonts w:ascii="Aptos Display" w:hAnsi="Aptos Display"/>
          <w:sz w:val="24"/>
          <w:szCs w:val="52"/>
        </w:rPr>
      </w:pPr>
      <w:r>
        <w:rPr>
          <w:rFonts w:ascii="Aptos Display" w:hAnsi="Aptos Display"/>
          <w:sz w:val="24"/>
          <w:szCs w:val="52"/>
        </w:rPr>
        <w:t xml:space="preserve">Serves rural </w:t>
      </w:r>
      <w:proofErr w:type="gramStart"/>
      <w:r>
        <w:rPr>
          <w:rFonts w:ascii="Aptos Display" w:hAnsi="Aptos Display"/>
          <w:sz w:val="24"/>
          <w:szCs w:val="52"/>
        </w:rPr>
        <w:t>communities?</w:t>
      </w:r>
      <w:proofErr w:type="gramEnd"/>
      <w:r>
        <w:rPr>
          <w:rFonts w:ascii="Aptos Display" w:hAnsi="Aptos Display"/>
          <w:sz w:val="24"/>
          <w:szCs w:val="52"/>
        </w:rPr>
        <w:t xml:space="preserve"> </w:t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ab/>
      </w:r>
      <w:r>
        <w:rPr>
          <w:rFonts w:ascii="Aptos Display" w:hAnsi="Aptos Display"/>
          <w:sz w:val="24"/>
          <w:szCs w:val="52"/>
        </w:rPr>
        <w:tab/>
        <w:t>Yes</w:t>
      </w:r>
      <w:sdt>
        <w:sdtPr>
          <w:rPr>
            <w:rFonts w:ascii="Aptos Display" w:hAnsi="Aptos Display"/>
            <w:sz w:val="24"/>
            <w:szCs w:val="52"/>
          </w:rPr>
          <w:id w:val="-136166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  <w:r>
        <w:rPr>
          <w:rFonts w:ascii="Aptos Display" w:hAnsi="Aptos Display"/>
          <w:sz w:val="24"/>
          <w:szCs w:val="52"/>
        </w:rPr>
        <w:t xml:space="preserve">  No</w:t>
      </w:r>
      <w:sdt>
        <w:sdtPr>
          <w:rPr>
            <w:rFonts w:ascii="Aptos Display" w:hAnsi="Aptos Display"/>
            <w:sz w:val="24"/>
            <w:szCs w:val="52"/>
          </w:rPr>
          <w:id w:val="10571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52"/>
            </w:rPr>
            <w:t>☐</w:t>
          </w:r>
        </w:sdtContent>
      </w:sdt>
    </w:p>
    <w:sectPr w:rsidR="008B4E6B" w:rsidRPr="008B4E6B" w:rsidSect="00050462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8C42" w14:textId="77777777" w:rsidR="003B1D0F" w:rsidRDefault="003B1D0F" w:rsidP="001346DB">
      <w:r>
        <w:separator/>
      </w:r>
    </w:p>
  </w:endnote>
  <w:endnote w:type="continuationSeparator" w:id="0">
    <w:p w14:paraId="548816DC" w14:textId="77777777" w:rsidR="003B1D0F" w:rsidRDefault="003B1D0F" w:rsidP="0013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charset w:val="00"/>
    <w:family w:val="swiss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ACEC" w14:textId="77777777" w:rsidR="003B1D0F" w:rsidRDefault="003B1D0F" w:rsidP="001346DB">
      <w:r>
        <w:separator/>
      </w:r>
    </w:p>
  </w:footnote>
  <w:footnote w:type="continuationSeparator" w:id="0">
    <w:p w14:paraId="66A66701" w14:textId="77777777" w:rsidR="003B1D0F" w:rsidRDefault="003B1D0F" w:rsidP="0013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739B5"/>
    <w:multiLevelType w:val="hybridMultilevel"/>
    <w:tmpl w:val="261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E0482"/>
    <w:multiLevelType w:val="hybridMultilevel"/>
    <w:tmpl w:val="2D70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036813">
    <w:abstractNumId w:val="1"/>
  </w:num>
  <w:num w:numId="2" w16cid:durableId="167005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62"/>
    <w:rsid w:val="00006196"/>
    <w:rsid w:val="00045D3B"/>
    <w:rsid w:val="00050462"/>
    <w:rsid w:val="00092FF0"/>
    <w:rsid w:val="0009454F"/>
    <w:rsid w:val="000C2709"/>
    <w:rsid w:val="000F65B0"/>
    <w:rsid w:val="00100AA8"/>
    <w:rsid w:val="001068BD"/>
    <w:rsid w:val="001346DB"/>
    <w:rsid w:val="001B1C66"/>
    <w:rsid w:val="002227A4"/>
    <w:rsid w:val="002408B1"/>
    <w:rsid w:val="002446C9"/>
    <w:rsid w:val="002925D9"/>
    <w:rsid w:val="002B5F00"/>
    <w:rsid w:val="002C15B9"/>
    <w:rsid w:val="002D7AB4"/>
    <w:rsid w:val="003965B8"/>
    <w:rsid w:val="00397239"/>
    <w:rsid w:val="003B1D0F"/>
    <w:rsid w:val="003F2659"/>
    <w:rsid w:val="00444DCF"/>
    <w:rsid w:val="0045346F"/>
    <w:rsid w:val="004667AE"/>
    <w:rsid w:val="004F4408"/>
    <w:rsid w:val="0054529B"/>
    <w:rsid w:val="00552EF0"/>
    <w:rsid w:val="00571374"/>
    <w:rsid w:val="00575B0A"/>
    <w:rsid w:val="006059F9"/>
    <w:rsid w:val="0060618B"/>
    <w:rsid w:val="006660E7"/>
    <w:rsid w:val="00684D66"/>
    <w:rsid w:val="006859C7"/>
    <w:rsid w:val="0069200F"/>
    <w:rsid w:val="00692D37"/>
    <w:rsid w:val="006C4ADF"/>
    <w:rsid w:val="006C60E6"/>
    <w:rsid w:val="006C64F8"/>
    <w:rsid w:val="00805B73"/>
    <w:rsid w:val="008239C9"/>
    <w:rsid w:val="00836A73"/>
    <w:rsid w:val="008B4E6B"/>
    <w:rsid w:val="00927F01"/>
    <w:rsid w:val="00986AC1"/>
    <w:rsid w:val="009A2294"/>
    <w:rsid w:val="00A654BD"/>
    <w:rsid w:val="00AD0453"/>
    <w:rsid w:val="00B537F4"/>
    <w:rsid w:val="00BC2CC2"/>
    <w:rsid w:val="00BC65A8"/>
    <w:rsid w:val="00C72FA6"/>
    <w:rsid w:val="00CA08B3"/>
    <w:rsid w:val="00CD1D46"/>
    <w:rsid w:val="00D6239B"/>
    <w:rsid w:val="00D735F9"/>
    <w:rsid w:val="00D76C99"/>
    <w:rsid w:val="00E76898"/>
    <w:rsid w:val="00F24431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72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4F440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4F4408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1374"/>
    <w:pPr>
      <w:keepNext/>
      <w:keepLines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57137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3"/>
    <w:qFormat/>
    <w:rsid w:val="00571374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b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4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374"/>
    <w:rPr>
      <w:rFonts w:ascii="Avenir Next" w:hAnsi="Avenir Next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134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374"/>
    <w:rPr>
      <w:rFonts w:ascii="Avenir Next" w:hAnsi="Avenir Next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346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74"/>
    <w:rPr>
      <w:rFonts w:ascii="Times New Roman" w:hAnsi="Times New Roman" w:cs="Times New Roman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1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5"/>
    <w:qFormat/>
    <w:rsid w:val="00571374"/>
    <w:rPr>
      <w:sz w:val="10"/>
    </w:rPr>
  </w:style>
  <w:style w:type="character" w:customStyle="1" w:styleId="Heading2Char">
    <w:name w:val="Heading 2 Char"/>
    <w:basedOn w:val="DefaultParagraphFont"/>
    <w:link w:val="Heading2"/>
    <w:uiPriority w:val="1"/>
    <w:rsid w:val="00571374"/>
    <w:rPr>
      <w:rFonts w:asciiTheme="majorHAnsi" w:eastAsiaTheme="majorEastAsia" w:hAnsiTheme="majorHAnsi" w:cstheme="majorBidi"/>
      <w:color w:val="FFFFFF" w:themeColor="background1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57137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rsid w:val="00571374"/>
    <w:rPr>
      <w:rFonts w:asciiTheme="majorHAnsi" w:eastAsiaTheme="majorEastAsia" w:hAnsiTheme="majorHAnsi" w:cstheme="majorBidi"/>
      <w:b/>
      <w:iCs/>
      <w:color w:val="000000" w:themeColor="text1"/>
      <w:sz w:val="48"/>
    </w:rPr>
  </w:style>
  <w:style w:type="character" w:customStyle="1" w:styleId="Heading1Char">
    <w:name w:val="Heading 1 Char"/>
    <w:basedOn w:val="DefaultParagraphFont"/>
    <w:link w:val="Heading1"/>
    <w:rsid w:val="004F4408"/>
    <w:rPr>
      <w:rFonts w:asciiTheme="majorHAnsi" w:eastAsiaTheme="majorEastAsia" w:hAnsiTheme="majorHAnsi" w:cstheme="majorBidi"/>
      <w:color w:val="FFFFFF" w:themeColor="background1"/>
      <w:sz w:val="56"/>
      <w:szCs w:val="32"/>
    </w:rPr>
  </w:style>
  <w:style w:type="character" w:styleId="PlaceholderText">
    <w:name w:val="Placeholder Text"/>
    <w:basedOn w:val="DefaultParagraphFont"/>
    <w:uiPriority w:val="99"/>
    <w:semiHidden/>
    <w:rsid w:val="0069200F"/>
    <w:rPr>
      <w:color w:val="808080"/>
    </w:rPr>
  </w:style>
  <w:style w:type="character" w:styleId="Emphasis">
    <w:name w:val="Emphasis"/>
    <w:basedOn w:val="DefaultParagraphFont"/>
    <w:uiPriority w:val="20"/>
    <w:qFormat/>
    <w:rsid w:val="00CA08B3"/>
    <w:rPr>
      <w:b/>
      <w:i w:val="0"/>
      <w:iCs/>
    </w:rPr>
  </w:style>
  <w:style w:type="paragraph" w:customStyle="1" w:styleId="Heading1Blue">
    <w:name w:val="Heading 1 Blue"/>
    <w:basedOn w:val="Heading1"/>
    <w:uiPriority w:val="4"/>
    <w:qFormat/>
    <w:rsid w:val="00CA08B3"/>
    <w:pPr>
      <w:jc w:val="left"/>
    </w:pPr>
    <w:rPr>
      <w:color w:val="3D7798" w:themeColor="accent3"/>
    </w:rPr>
  </w:style>
  <w:style w:type="paragraph" w:customStyle="1" w:styleId="Heading2Blue">
    <w:name w:val="Heading 2 Blue"/>
    <w:basedOn w:val="Normal"/>
    <w:uiPriority w:val="4"/>
    <w:qFormat/>
    <w:rsid w:val="00CA08B3"/>
    <w:rPr>
      <w:color w:val="3D7798" w:themeColor="accent3"/>
    </w:rPr>
  </w:style>
  <w:style w:type="paragraph" w:customStyle="1" w:styleId="Heading3Blue">
    <w:name w:val="Heading 3 Blue"/>
    <w:basedOn w:val="Heading3"/>
    <w:uiPriority w:val="4"/>
    <w:qFormat/>
    <w:rsid w:val="00CA08B3"/>
    <w:rPr>
      <w:color w:val="3D7798" w:themeColor="accent3"/>
    </w:rPr>
  </w:style>
  <w:style w:type="character" w:customStyle="1" w:styleId="EmphasisAlt">
    <w:name w:val="Emphasis Alt"/>
    <w:basedOn w:val="DefaultParagraphFont"/>
    <w:uiPriority w:val="1"/>
    <w:qFormat/>
    <w:rsid w:val="004534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Seraphin\AppData\Roaming\Microsoft\Templates\Grading%20rubric.dotx" TargetMode="External"/></Relationships>
</file>

<file path=word/theme/theme1.xml><?xml version="1.0" encoding="utf-8"?>
<a:theme xmlns:a="http://schemas.openxmlformats.org/drawingml/2006/main" name="Grading">
  <a:themeElements>
    <a:clrScheme name="Grading">
      <a:dk1>
        <a:srgbClr val="000000"/>
      </a:dk1>
      <a:lt1>
        <a:srgbClr val="FFFFFF"/>
      </a:lt1>
      <a:dk2>
        <a:srgbClr val="545454"/>
      </a:dk2>
      <a:lt2>
        <a:srgbClr val="A7A9AC"/>
      </a:lt2>
      <a:accent1>
        <a:srgbClr val="F5F6F5"/>
      </a:accent1>
      <a:accent2>
        <a:srgbClr val="FC4146"/>
      </a:accent2>
      <a:accent3>
        <a:srgbClr val="3D7798"/>
      </a:accent3>
      <a:accent4>
        <a:srgbClr val="6492AD"/>
      </a:accent4>
      <a:accent5>
        <a:srgbClr val="8AADC0"/>
      </a:accent5>
      <a:accent6>
        <a:srgbClr val="B1C8D5"/>
      </a:accent6>
      <a:hlink>
        <a:srgbClr val="0000FF"/>
      </a:hlink>
      <a:folHlink>
        <a:srgbClr val="FF00FF"/>
      </a:folHlink>
    </a:clrScheme>
    <a:fontScheme name="Avenir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ding" id="{7F7C669A-4368-E24C-B4E7-96779283C322}" vid="{F1304951-C2D6-E04A-9BE8-843411DF98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C621BD-927C-40C2-BBB1-648E489BB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115C8-79D3-475F-90BD-A309D13CD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45872-6D99-4696-B028-A126AFCE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EB0CD-1D33-497C-845E-A2AD02C5F3A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Grading rubric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2024-09-04T17:53:00Z</dcterms:created>
  <dcterms:modified xsi:type="dcterms:W3CDTF">2024-10-10T16:33:00Z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